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76" w:rsidRDefault="004F5A76" w:rsidP="00940A4C">
      <w:pPr>
        <w:rPr>
          <w:rFonts w:ascii="Arial" w:eastAsia="Times New Roman" w:hAnsi="Arial" w:cs="Arial"/>
          <w:b/>
          <w:color w:val="212121"/>
          <w:sz w:val="28"/>
          <w:szCs w:val="20"/>
          <w:lang w:val="fr-FR" w:eastAsia="fr-BE"/>
        </w:rPr>
      </w:pPr>
      <w:bookmarkStart w:id="0" w:name="_GoBack"/>
      <w:bookmarkEnd w:id="0"/>
      <w:r>
        <w:rPr>
          <w:rFonts w:ascii="Arial" w:hAnsi="Arial" w:cs="Arial"/>
          <w:b/>
          <w:bCs/>
          <w:noProof/>
          <w:color w:val="212121"/>
          <w:sz w:val="28"/>
          <w:szCs w:val="28"/>
          <w:lang w:eastAsia="fr-BE"/>
        </w:rPr>
        <w:drawing>
          <wp:anchor distT="0" distB="0" distL="114300" distR="114300" simplePos="0" relativeHeight="251658240" behindDoc="0" locked="0" layoutInCell="1" allowOverlap="1" wp14:anchorId="10EA5391" wp14:editId="0894A677">
            <wp:simplePos x="0" y="0"/>
            <wp:positionH relativeFrom="margin">
              <wp:posOffset>2049145</wp:posOffset>
            </wp:positionH>
            <wp:positionV relativeFrom="paragraph">
              <wp:posOffset>9525</wp:posOffset>
            </wp:positionV>
            <wp:extent cx="141732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a.png"/>
                    <pic:cNvPicPr/>
                  </pic:nvPicPr>
                  <pic:blipFill>
                    <a:blip r:embed="rId6">
                      <a:extLst>
                        <a:ext uri="{28A0092B-C50C-407E-A947-70E740481C1C}">
                          <a14:useLocalDpi xmlns:a14="http://schemas.microsoft.com/office/drawing/2010/main" val="0"/>
                        </a:ext>
                      </a:extLst>
                    </a:blip>
                    <a:stretch>
                      <a:fillRect/>
                    </a:stretch>
                  </pic:blipFill>
                  <pic:spPr>
                    <a:xfrm>
                      <a:off x="0" y="0"/>
                      <a:ext cx="1417320" cy="699135"/>
                    </a:xfrm>
                    <a:prstGeom prst="rect">
                      <a:avLst/>
                    </a:prstGeom>
                  </pic:spPr>
                </pic:pic>
              </a:graphicData>
            </a:graphic>
            <wp14:sizeRelH relativeFrom="page">
              <wp14:pctWidth>0</wp14:pctWidth>
            </wp14:sizeRelH>
            <wp14:sizeRelV relativeFrom="page">
              <wp14:pctHeight>0</wp14:pctHeight>
            </wp14:sizeRelV>
          </wp:anchor>
        </w:drawing>
      </w:r>
    </w:p>
    <w:p w:rsidR="004F5A76" w:rsidRDefault="004F5A76" w:rsidP="00940A4C">
      <w:pPr>
        <w:rPr>
          <w:rFonts w:ascii="Arial" w:eastAsia="Times New Roman" w:hAnsi="Arial" w:cs="Arial"/>
          <w:b/>
          <w:color w:val="212121"/>
          <w:sz w:val="28"/>
          <w:szCs w:val="20"/>
          <w:lang w:val="fr-FR" w:eastAsia="fr-BE"/>
        </w:rPr>
      </w:pPr>
    </w:p>
    <w:p w:rsidR="006367CB" w:rsidRPr="008602D3" w:rsidRDefault="006367CB" w:rsidP="006367CB">
      <w:pPr>
        <w:autoSpaceDE w:val="0"/>
        <w:autoSpaceDN w:val="0"/>
        <w:adjustRightInd w:val="0"/>
        <w:spacing w:after="0" w:line="240" w:lineRule="auto"/>
        <w:rPr>
          <w:rFonts w:ascii="Arial" w:eastAsia="Times New Roman" w:hAnsi="Arial" w:cs="Arial"/>
          <w:b/>
          <w:color w:val="212121"/>
          <w:sz w:val="14"/>
          <w:szCs w:val="20"/>
          <w:lang w:val="fr-FR" w:eastAsia="fr-BE"/>
        </w:rPr>
      </w:pPr>
    </w:p>
    <w:p w:rsidR="00EA7A74" w:rsidRDefault="00EA7A74" w:rsidP="006367CB">
      <w:pPr>
        <w:autoSpaceDE w:val="0"/>
        <w:autoSpaceDN w:val="0"/>
        <w:adjustRightInd w:val="0"/>
        <w:spacing w:after="0" w:line="240" w:lineRule="auto"/>
        <w:rPr>
          <w:rFonts w:ascii="Arial-BoldMT" w:hAnsi="Arial-BoldMT" w:cs="Arial-BoldMT"/>
          <w:b/>
          <w:bCs/>
          <w:color w:val="000000"/>
          <w:sz w:val="24"/>
          <w:szCs w:val="24"/>
        </w:rPr>
      </w:pPr>
    </w:p>
    <w:p w:rsidR="006367CB" w:rsidRPr="003735A1" w:rsidRDefault="006367CB" w:rsidP="006367CB">
      <w:pPr>
        <w:autoSpaceDE w:val="0"/>
        <w:autoSpaceDN w:val="0"/>
        <w:adjustRightInd w:val="0"/>
        <w:spacing w:after="0" w:line="240" w:lineRule="auto"/>
        <w:rPr>
          <w:rFonts w:ascii="Arial-BoldMT" w:hAnsi="Arial-BoldMT" w:cs="Arial-BoldMT"/>
          <w:b/>
          <w:bCs/>
          <w:color w:val="000000"/>
          <w:sz w:val="24"/>
          <w:szCs w:val="24"/>
        </w:rPr>
      </w:pPr>
      <w:r w:rsidRPr="003735A1">
        <w:rPr>
          <w:rFonts w:ascii="Arial-BoldMT" w:hAnsi="Arial-BoldMT" w:cs="Arial-BoldMT"/>
          <w:b/>
          <w:bCs/>
          <w:color w:val="000000"/>
          <w:sz w:val="24"/>
          <w:szCs w:val="24"/>
        </w:rPr>
        <w:t>NE PAS DIFFUSER, PUBLIER OU DISTRIBUER DANS OU À DESTINATION</w:t>
      </w:r>
    </w:p>
    <w:p w:rsidR="006367CB" w:rsidRPr="003735A1" w:rsidRDefault="006367CB" w:rsidP="006367CB">
      <w:pPr>
        <w:autoSpaceDE w:val="0"/>
        <w:autoSpaceDN w:val="0"/>
        <w:adjustRightInd w:val="0"/>
        <w:spacing w:after="0" w:line="240" w:lineRule="auto"/>
        <w:rPr>
          <w:rFonts w:ascii="Arial-BoldMT" w:hAnsi="Arial-BoldMT" w:cs="Arial-BoldMT"/>
          <w:b/>
          <w:bCs/>
          <w:color w:val="000000"/>
          <w:sz w:val="24"/>
          <w:szCs w:val="24"/>
        </w:rPr>
      </w:pPr>
      <w:r w:rsidRPr="003735A1">
        <w:rPr>
          <w:rFonts w:ascii="Arial-BoldMT" w:hAnsi="Arial-BoldMT" w:cs="Arial-BoldMT"/>
          <w:b/>
          <w:bCs/>
          <w:color w:val="000000"/>
          <w:sz w:val="24"/>
          <w:szCs w:val="24"/>
        </w:rPr>
        <w:t>DES ÉTATS-UNIS D’AMÉRIQUE OU DANS TOUTE AUTRE JURIDICTION OÙ</w:t>
      </w:r>
    </w:p>
    <w:p w:rsidR="004F5A76" w:rsidRDefault="006367CB" w:rsidP="003735A1">
      <w:pPr>
        <w:autoSpaceDE w:val="0"/>
        <w:autoSpaceDN w:val="0"/>
        <w:adjustRightInd w:val="0"/>
        <w:spacing w:after="0" w:line="240" w:lineRule="auto"/>
        <w:rPr>
          <w:rFonts w:ascii="Arial-BoldMT" w:hAnsi="Arial-BoldMT" w:cs="Arial-BoldMT"/>
          <w:b/>
          <w:bCs/>
          <w:color w:val="000000"/>
          <w:sz w:val="24"/>
          <w:szCs w:val="24"/>
        </w:rPr>
      </w:pPr>
      <w:r w:rsidRPr="003735A1">
        <w:rPr>
          <w:rFonts w:ascii="Arial-BoldMT" w:hAnsi="Arial-BoldMT" w:cs="Arial-BoldMT"/>
          <w:b/>
          <w:bCs/>
          <w:color w:val="000000"/>
          <w:sz w:val="24"/>
          <w:szCs w:val="24"/>
        </w:rPr>
        <w:t xml:space="preserve">IL EST ILLEGAL DE DISTRIBUER </w:t>
      </w:r>
      <w:r w:rsidR="003735A1">
        <w:rPr>
          <w:rFonts w:ascii="Arial-BoldMT" w:hAnsi="Arial-BoldMT" w:cs="Arial-BoldMT"/>
          <w:b/>
          <w:bCs/>
          <w:color w:val="000000"/>
          <w:sz w:val="24"/>
          <w:szCs w:val="24"/>
        </w:rPr>
        <w:t>LE PRÉSENT COMMUNIQUÉ DE PRESSE</w:t>
      </w:r>
    </w:p>
    <w:p w:rsidR="003735A1" w:rsidRPr="003735A1" w:rsidRDefault="003735A1" w:rsidP="003735A1">
      <w:pPr>
        <w:autoSpaceDE w:val="0"/>
        <w:autoSpaceDN w:val="0"/>
        <w:adjustRightInd w:val="0"/>
        <w:spacing w:after="0" w:line="240" w:lineRule="auto"/>
        <w:rPr>
          <w:rFonts w:ascii="Arial-BoldMT" w:hAnsi="Arial-BoldMT" w:cs="Arial-BoldMT"/>
          <w:b/>
          <w:bCs/>
          <w:color w:val="000000"/>
          <w:sz w:val="24"/>
          <w:szCs w:val="24"/>
        </w:rPr>
      </w:pPr>
    </w:p>
    <w:p w:rsidR="003735A1" w:rsidRDefault="003735A1" w:rsidP="003735A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 </w:t>
      </w:r>
      <w:r w:rsidR="002C3E55">
        <w:rPr>
          <w:rFonts w:ascii="Arial" w:hAnsi="Arial" w:cs="Arial"/>
          <w:color w:val="000000"/>
          <w:sz w:val="20"/>
          <w:szCs w:val="20"/>
        </w:rPr>
        <w:t>3 octobre</w:t>
      </w:r>
      <w:r w:rsidR="006367CB" w:rsidRPr="006367CB">
        <w:rPr>
          <w:rFonts w:ascii="Arial" w:hAnsi="Arial" w:cs="Arial"/>
          <w:color w:val="000000"/>
          <w:sz w:val="20"/>
          <w:szCs w:val="20"/>
        </w:rPr>
        <w:t xml:space="preserve"> 2017</w:t>
      </w:r>
    </w:p>
    <w:p w:rsidR="003735A1" w:rsidRPr="00BA2D98" w:rsidRDefault="003735A1" w:rsidP="003735A1">
      <w:pPr>
        <w:autoSpaceDE w:val="0"/>
        <w:autoSpaceDN w:val="0"/>
        <w:adjustRightInd w:val="0"/>
        <w:spacing w:after="0" w:line="240" w:lineRule="auto"/>
        <w:rPr>
          <w:rFonts w:ascii="Arial" w:hAnsi="Arial" w:cs="Arial"/>
          <w:color w:val="000000"/>
          <w:sz w:val="10"/>
          <w:szCs w:val="20"/>
        </w:rPr>
      </w:pPr>
    </w:p>
    <w:p w:rsidR="00940A4C" w:rsidRPr="003735A1" w:rsidRDefault="00940A4C" w:rsidP="00940A4C">
      <w:pPr>
        <w:rPr>
          <w:rFonts w:ascii="ArialMT" w:hAnsi="ArialMT" w:cs="Arial"/>
          <w:b/>
          <w:color w:val="000000"/>
          <w:sz w:val="26"/>
          <w:szCs w:val="20"/>
        </w:rPr>
      </w:pPr>
      <w:r w:rsidRPr="003735A1">
        <w:rPr>
          <w:rFonts w:ascii="ArialMT" w:hAnsi="ArialMT" w:cs="Arial"/>
          <w:b/>
          <w:color w:val="000000"/>
          <w:sz w:val="26"/>
          <w:szCs w:val="20"/>
        </w:rPr>
        <w:t xml:space="preserve">La solidité financière de </w:t>
      </w:r>
      <w:r w:rsidR="00E63C3E">
        <w:rPr>
          <w:rFonts w:ascii="ArialMT" w:hAnsi="ArialMT" w:cs="Arial"/>
          <w:b/>
          <w:color w:val="000000"/>
          <w:sz w:val="26"/>
          <w:szCs w:val="20"/>
        </w:rPr>
        <w:t>Resa</w:t>
      </w:r>
      <w:r w:rsidRPr="003735A1">
        <w:rPr>
          <w:rFonts w:ascii="ArialMT" w:hAnsi="ArialMT" w:cs="Arial"/>
          <w:b/>
          <w:color w:val="000000"/>
          <w:sz w:val="26"/>
          <w:szCs w:val="20"/>
        </w:rPr>
        <w:t xml:space="preserve"> à nouveau reconnue par Moody’s.</w:t>
      </w:r>
    </w:p>
    <w:p w:rsidR="00940A4C" w:rsidRPr="003735A1" w:rsidRDefault="00940A4C" w:rsidP="006367CB">
      <w:pPr>
        <w:autoSpaceDE w:val="0"/>
        <w:autoSpaceDN w:val="0"/>
        <w:adjustRightInd w:val="0"/>
        <w:spacing w:after="0" w:line="240" w:lineRule="auto"/>
        <w:rPr>
          <w:rFonts w:ascii="ArialMT" w:hAnsi="ArialMT" w:cs="Arial"/>
          <w:color w:val="000000"/>
          <w:szCs w:val="20"/>
        </w:rPr>
      </w:pPr>
      <w:r w:rsidRPr="003735A1">
        <w:rPr>
          <w:rFonts w:ascii="ArialMT" w:hAnsi="ArialMT" w:cs="Arial"/>
          <w:color w:val="000000"/>
          <w:szCs w:val="20"/>
        </w:rPr>
        <w:t xml:space="preserve">L’agence de notation Moody’s confirme la notation long terme « A2 » de </w:t>
      </w:r>
      <w:r w:rsidR="00E63C3E">
        <w:rPr>
          <w:rFonts w:ascii="ArialMT" w:hAnsi="ArialMT" w:cs="Arial"/>
          <w:color w:val="000000"/>
          <w:szCs w:val="20"/>
        </w:rPr>
        <w:t>Resa</w:t>
      </w:r>
      <w:r w:rsidRPr="003735A1">
        <w:rPr>
          <w:rFonts w:ascii="ArialMT" w:hAnsi="ArialMT" w:cs="Arial"/>
          <w:color w:val="000000"/>
          <w:szCs w:val="20"/>
        </w:rPr>
        <w:t xml:space="preserve">, avec une perspective stable. L’agence affirme par ailleurs que l’ensemble des notes de </w:t>
      </w:r>
      <w:r w:rsidR="00E63C3E">
        <w:rPr>
          <w:rFonts w:ascii="ArialMT" w:hAnsi="ArialMT" w:cs="Arial"/>
          <w:color w:val="000000"/>
          <w:szCs w:val="20"/>
        </w:rPr>
        <w:t>Resa</w:t>
      </w:r>
      <w:r w:rsidRPr="003735A1">
        <w:rPr>
          <w:rFonts w:ascii="ArialMT" w:hAnsi="ArialMT" w:cs="Arial"/>
          <w:color w:val="000000"/>
          <w:szCs w:val="20"/>
        </w:rPr>
        <w:t xml:space="preserve"> restent inchangées. </w:t>
      </w:r>
    </w:p>
    <w:p w:rsidR="006367CB" w:rsidRPr="008602D3" w:rsidRDefault="006367CB" w:rsidP="006367CB">
      <w:pPr>
        <w:autoSpaceDE w:val="0"/>
        <w:autoSpaceDN w:val="0"/>
        <w:adjustRightInd w:val="0"/>
        <w:spacing w:after="0" w:line="240" w:lineRule="auto"/>
        <w:rPr>
          <w:rFonts w:ascii="ArialMT" w:hAnsi="ArialMT" w:cs="Arial"/>
          <w:color w:val="000000"/>
          <w:sz w:val="16"/>
          <w:szCs w:val="16"/>
        </w:rPr>
      </w:pPr>
    </w:p>
    <w:p w:rsidR="002E765C" w:rsidRDefault="002E765C" w:rsidP="002E765C">
      <w:pPr>
        <w:autoSpaceDE w:val="0"/>
        <w:autoSpaceDN w:val="0"/>
        <w:adjustRightInd w:val="0"/>
        <w:spacing w:after="0" w:line="240" w:lineRule="auto"/>
        <w:rPr>
          <w:rFonts w:ascii="ArialMT" w:hAnsi="ArialMT" w:cs="Arial"/>
          <w:color w:val="000000"/>
          <w:szCs w:val="20"/>
        </w:rPr>
      </w:pPr>
      <w:r w:rsidRPr="001A6E97">
        <w:rPr>
          <w:rFonts w:ascii="ArialMT" w:hAnsi="ArialMT" w:cs="Arial"/>
          <w:color w:val="000000"/>
          <w:szCs w:val="20"/>
        </w:rPr>
        <w:t xml:space="preserve">L’échelle de notation de Moody’s est composée de 21 crans, </w:t>
      </w:r>
      <w:r w:rsidR="008602D3">
        <w:rPr>
          <w:rFonts w:ascii="ArialMT" w:hAnsi="ArialMT" w:cs="Arial"/>
          <w:color w:val="000000"/>
          <w:szCs w:val="20"/>
        </w:rPr>
        <w:t xml:space="preserve">s’échelonnant </w:t>
      </w:r>
      <w:r w:rsidR="00234A32" w:rsidRPr="001A6E97">
        <w:rPr>
          <w:rFonts w:ascii="ArialMT" w:hAnsi="ArialMT" w:cs="Arial"/>
          <w:color w:val="000000"/>
          <w:szCs w:val="20"/>
        </w:rPr>
        <w:t xml:space="preserve">d’un minimum </w:t>
      </w:r>
      <w:r w:rsidRPr="001A6E97">
        <w:rPr>
          <w:rFonts w:ascii="ArialMT" w:hAnsi="ArialMT" w:cs="Arial"/>
          <w:color w:val="000000"/>
          <w:szCs w:val="20"/>
        </w:rPr>
        <w:t xml:space="preserve">de </w:t>
      </w:r>
      <w:r w:rsidR="00B7612E" w:rsidRPr="001A6E97">
        <w:rPr>
          <w:rFonts w:ascii="ArialMT" w:hAnsi="ArialMT" w:cs="Arial"/>
          <w:color w:val="000000"/>
          <w:szCs w:val="20"/>
        </w:rPr>
        <w:t>« </w:t>
      </w:r>
      <w:r w:rsidRPr="001A6E97">
        <w:rPr>
          <w:rFonts w:ascii="ArialMT" w:hAnsi="ArialMT" w:cs="Arial"/>
          <w:color w:val="000000"/>
          <w:szCs w:val="20"/>
        </w:rPr>
        <w:t>C</w:t>
      </w:r>
      <w:r w:rsidR="00B7612E" w:rsidRPr="001A6E97">
        <w:rPr>
          <w:rFonts w:ascii="ArialMT" w:hAnsi="ArialMT" w:cs="Arial"/>
          <w:color w:val="000000"/>
          <w:szCs w:val="20"/>
        </w:rPr>
        <w:t> »</w:t>
      </w:r>
      <w:r w:rsidR="00234A32" w:rsidRPr="001A6E97">
        <w:rPr>
          <w:rFonts w:ascii="ArialMT" w:hAnsi="ArialMT" w:cs="Arial"/>
          <w:color w:val="000000"/>
          <w:szCs w:val="20"/>
        </w:rPr>
        <w:t xml:space="preserve"> à un maximum de </w:t>
      </w:r>
      <w:r w:rsidR="00B7612E" w:rsidRPr="001A6E97">
        <w:rPr>
          <w:rFonts w:ascii="ArialMT" w:hAnsi="ArialMT" w:cs="Arial"/>
          <w:color w:val="000000"/>
          <w:szCs w:val="20"/>
        </w:rPr>
        <w:t>« </w:t>
      </w:r>
      <w:r w:rsidR="00234A32" w:rsidRPr="001A6E97">
        <w:rPr>
          <w:rFonts w:ascii="ArialMT" w:hAnsi="ArialMT" w:cs="Arial"/>
          <w:color w:val="000000"/>
          <w:szCs w:val="20"/>
        </w:rPr>
        <w:t>Aaa</w:t>
      </w:r>
      <w:r w:rsidR="00B7612E" w:rsidRPr="001A6E97">
        <w:rPr>
          <w:rFonts w:ascii="ArialMT" w:hAnsi="ArialMT" w:cs="Arial"/>
          <w:color w:val="000000"/>
          <w:szCs w:val="20"/>
        </w:rPr>
        <w:t> »</w:t>
      </w:r>
      <w:r w:rsidR="00234A32" w:rsidRPr="001A6E97">
        <w:rPr>
          <w:rFonts w:ascii="ArialMT" w:hAnsi="ArialMT" w:cs="Arial"/>
          <w:color w:val="000000"/>
          <w:szCs w:val="20"/>
        </w:rPr>
        <w:t>. L</w:t>
      </w:r>
      <w:r w:rsidR="00D906BD" w:rsidRPr="001A6E97">
        <w:rPr>
          <w:rFonts w:ascii="ArialMT" w:hAnsi="ArialMT" w:cs="Arial"/>
          <w:color w:val="000000"/>
          <w:szCs w:val="20"/>
        </w:rPr>
        <w:t>e niveau</w:t>
      </w:r>
      <w:r w:rsidR="00234A32" w:rsidRPr="001A6E97">
        <w:rPr>
          <w:rFonts w:ascii="ArialMT" w:hAnsi="ArialMT" w:cs="Arial"/>
          <w:color w:val="000000"/>
          <w:szCs w:val="20"/>
        </w:rPr>
        <w:t xml:space="preserve"> </w:t>
      </w:r>
      <w:r w:rsidRPr="001A6E97">
        <w:rPr>
          <w:rFonts w:ascii="ArialMT" w:hAnsi="ArialMT" w:cs="Arial"/>
          <w:color w:val="000000"/>
          <w:szCs w:val="20"/>
        </w:rPr>
        <w:t>« A2 »</w:t>
      </w:r>
      <w:r w:rsidR="00234A32" w:rsidRPr="001A6E97">
        <w:rPr>
          <w:rFonts w:ascii="ArialMT" w:hAnsi="ArialMT" w:cs="Arial"/>
          <w:color w:val="000000"/>
          <w:szCs w:val="20"/>
        </w:rPr>
        <w:t xml:space="preserve"> </w:t>
      </w:r>
      <w:r w:rsidR="00D906BD" w:rsidRPr="001A6E97">
        <w:rPr>
          <w:rFonts w:ascii="ArialMT" w:hAnsi="ArialMT" w:cs="Arial"/>
          <w:color w:val="000000"/>
          <w:szCs w:val="20"/>
        </w:rPr>
        <w:t>s’applique</w:t>
      </w:r>
      <w:r w:rsidRPr="001A6E97">
        <w:rPr>
          <w:rFonts w:ascii="ArialMT" w:hAnsi="ArialMT" w:cs="Arial"/>
          <w:color w:val="000000"/>
          <w:szCs w:val="20"/>
        </w:rPr>
        <w:t xml:space="preserve"> aux organisations dotées d’une  bonne aptitude à </w:t>
      </w:r>
      <w:r w:rsidR="00234A32" w:rsidRPr="001A6E97">
        <w:rPr>
          <w:rFonts w:ascii="ArialMT" w:hAnsi="ArialMT" w:cs="Arial"/>
          <w:color w:val="000000"/>
          <w:szCs w:val="20"/>
        </w:rPr>
        <w:t>répondre à leurs engagements envers leurs créanciers</w:t>
      </w:r>
      <w:r w:rsidR="00D906BD" w:rsidRPr="001A6E97">
        <w:rPr>
          <w:rFonts w:ascii="ArialMT" w:hAnsi="ArialMT" w:cs="Arial"/>
          <w:color w:val="000000"/>
          <w:szCs w:val="20"/>
        </w:rPr>
        <w:t>. Il s’agit d’une marque de confiance accordée par l’agence internationale et d’un signe positif envoyé vers le marché.</w:t>
      </w:r>
    </w:p>
    <w:p w:rsidR="00234A32" w:rsidRPr="008602D3" w:rsidRDefault="00234A32" w:rsidP="002E765C">
      <w:pPr>
        <w:autoSpaceDE w:val="0"/>
        <w:autoSpaceDN w:val="0"/>
        <w:adjustRightInd w:val="0"/>
        <w:spacing w:after="0" w:line="240" w:lineRule="auto"/>
        <w:rPr>
          <w:rFonts w:ascii="ArialMT" w:hAnsi="ArialMT" w:cs="Arial"/>
          <w:color w:val="000000"/>
          <w:sz w:val="16"/>
          <w:szCs w:val="16"/>
        </w:rPr>
      </w:pPr>
    </w:p>
    <w:p w:rsidR="00234A32" w:rsidRDefault="00E63C3E" w:rsidP="006367CB">
      <w:pPr>
        <w:autoSpaceDE w:val="0"/>
        <w:autoSpaceDN w:val="0"/>
        <w:adjustRightInd w:val="0"/>
        <w:spacing w:after="0" w:line="240" w:lineRule="auto"/>
        <w:rPr>
          <w:rFonts w:ascii="ArialMT" w:hAnsi="ArialMT" w:cs="Arial"/>
          <w:color w:val="000000"/>
          <w:szCs w:val="20"/>
        </w:rPr>
      </w:pPr>
      <w:r>
        <w:rPr>
          <w:rFonts w:ascii="ArialMT" w:hAnsi="ArialMT" w:cs="Arial"/>
          <w:color w:val="000000"/>
          <w:szCs w:val="20"/>
        </w:rPr>
        <w:t>Resa</w:t>
      </w:r>
      <w:r w:rsidR="00940A4C" w:rsidRPr="003735A1">
        <w:rPr>
          <w:rFonts w:ascii="ArialMT" w:hAnsi="ArialMT" w:cs="Arial"/>
          <w:color w:val="000000"/>
          <w:szCs w:val="20"/>
        </w:rPr>
        <w:t xml:space="preserve"> est aujourd’hui le seul GRD belge doté de ce niveau de notation par Moody’s, et se classe au même niveau que la Région wallonne.</w:t>
      </w:r>
      <w:r w:rsidR="002E765C">
        <w:rPr>
          <w:rFonts w:ascii="ArialMT" w:hAnsi="ArialMT" w:cs="Arial"/>
          <w:color w:val="000000"/>
          <w:szCs w:val="20"/>
        </w:rPr>
        <w:t xml:space="preserve"> </w:t>
      </w:r>
    </w:p>
    <w:p w:rsidR="00234A32" w:rsidRPr="008602D3" w:rsidRDefault="00234A32" w:rsidP="006367CB">
      <w:pPr>
        <w:autoSpaceDE w:val="0"/>
        <w:autoSpaceDN w:val="0"/>
        <w:adjustRightInd w:val="0"/>
        <w:spacing w:after="0" w:line="240" w:lineRule="auto"/>
        <w:rPr>
          <w:rFonts w:ascii="ArialMT" w:hAnsi="ArialMT" w:cs="Arial"/>
          <w:color w:val="000000"/>
          <w:sz w:val="16"/>
          <w:szCs w:val="16"/>
        </w:rPr>
      </w:pPr>
    </w:p>
    <w:p w:rsidR="00940A4C" w:rsidRPr="003735A1" w:rsidRDefault="00940A4C" w:rsidP="006367CB">
      <w:pPr>
        <w:autoSpaceDE w:val="0"/>
        <w:autoSpaceDN w:val="0"/>
        <w:adjustRightInd w:val="0"/>
        <w:spacing w:after="0" w:line="240" w:lineRule="auto"/>
        <w:rPr>
          <w:rFonts w:ascii="ArialMT" w:hAnsi="ArialMT" w:cs="Arial"/>
          <w:color w:val="000000"/>
          <w:szCs w:val="20"/>
        </w:rPr>
      </w:pPr>
      <w:r w:rsidRPr="003735A1">
        <w:rPr>
          <w:rFonts w:ascii="ArialMT" w:hAnsi="ArialMT" w:cs="Arial"/>
          <w:color w:val="000000"/>
          <w:szCs w:val="20"/>
        </w:rPr>
        <w:t xml:space="preserve">Cette notation reflète la solidité de </w:t>
      </w:r>
      <w:r w:rsidR="00E63C3E">
        <w:rPr>
          <w:rFonts w:ascii="ArialMT" w:hAnsi="ArialMT" w:cs="Arial"/>
          <w:color w:val="000000"/>
          <w:szCs w:val="20"/>
        </w:rPr>
        <w:t>Resa</w:t>
      </w:r>
      <w:r w:rsidRPr="003735A1">
        <w:rPr>
          <w:rFonts w:ascii="ArialMT" w:hAnsi="ArialMT" w:cs="Arial"/>
          <w:color w:val="000000"/>
          <w:szCs w:val="20"/>
        </w:rPr>
        <w:t xml:space="preserve"> sur le marché de l’énergie. Elle conforte par ailleurs la pertinence de la stratégie menée par la société. Cette confiance confirmée par l’agence de dotation internationale Moody’s salue enfin la solidité d’un acteur économique, qui vise à assurer une croissance sur le long terme, tout en continuant de créer de la valeur pour ses actionnaires, les acteurs locaux.</w:t>
      </w:r>
    </w:p>
    <w:p w:rsidR="006367CB" w:rsidRPr="008602D3" w:rsidRDefault="006367CB" w:rsidP="006367CB">
      <w:pPr>
        <w:autoSpaceDE w:val="0"/>
        <w:autoSpaceDN w:val="0"/>
        <w:adjustRightInd w:val="0"/>
        <w:spacing w:after="0" w:line="240" w:lineRule="auto"/>
        <w:rPr>
          <w:rFonts w:ascii="ArialMT" w:hAnsi="ArialMT" w:cs="Arial"/>
          <w:color w:val="000000"/>
          <w:sz w:val="16"/>
          <w:szCs w:val="16"/>
        </w:rPr>
      </w:pPr>
    </w:p>
    <w:p w:rsidR="00940A4C" w:rsidRPr="003735A1" w:rsidRDefault="00940A4C" w:rsidP="00940A4C">
      <w:pPr>
        <w:rPr>
          <w:rFonts w:ascii="ArialMT" w:hAnsi="ArialMT" w:cs="Arial"/>
          <w:sz w:val="24"/>
          <w:lang w:val="fr-FR"/>
        </w:rPr>
      </w:pPr>
      <w:r w:rsidRPr="003735A1">
        <w:rPr>
          <w:rFonts w:ascii="ArialMT" w:hAnsi="ArialMT" w:cs="Arial"/>
          <w:b/>
          <w:bCs/>
          <w:color w:val="212121"/>
          <w:szCs w:val="20"/>
          <w:lang w:val="fr-FR" w:eastAsia="fr-BE"/>
        </w:rPr>
        <w:t>Perspectives d’avenir positives</w:t>
      </w:r>
    </w:p>
    <w:p w:rsidR="00940A4C" w:rsidRPr="003735A1" w:rsidRDefault="00940A4C" w:rsidP="00940A4C">
      <w:pPr>
        <w:rPr>
          <w:rFonts w:ascii="ArialMT" w:hAnsi="ArialMT" w:cs="Arial"/>
          <w:sz w:val="24"/>
          <w:lang w:val="fr-FR"/>
        </w:rPr>
      </w:pPr>
      <w:r w:rsidRPr="003735A1">
        <w:rPr>
          <w:rFonts w:ascii="ArialMT" w:hAnsi="ArialMT" w:cs="Arial"/>
          <w:color w:val="212121"/>
          <w:szCs w:val="20"/>
          <w:lang w:val="fr-FR" w:eastAsia="fr-BE"/>
        </w:rPr>
        <w:t>Cette affirmation de la cote suit la publication en juillet 2017 d’une nouvelle méthodolo</w:t>
      </w:r>
      <w:r w:rsidR="003735A1" w:rsidRPr="003735A1">
        <w:rPr>
          <w:rFonts w:ascii="ArialMT" w:hAnsi="ArialMT" w:cs="Arial"/>
          <w:color w:val="212121"/>
          <w:szCs w:val="20"/>
          <w:lang w:val="fr-FR" w:eastAsia="fr-BE"/>
        </w:rPr>
        <w:t>gie tarifaire appelée par la CWa</w:t>
      </w:r>
      <w:r w:rsidRPr="003735A1">
        <w:rPr>
          <w:rFonts w:ascii="ArialMT" w:hAnsi="ArialMT" w:cs="Arial"/>
          <w:color w:val="212121"/>
          <w:szCs w:val="20"/>
          <w:lang w:val="fr-FR" w:eastAsia="fr-BE"/>
        </w:rPr>
        <w:t xml:space="preserve">PE, pour la période 2019-2023. </w:t>
      </w:r>
    </w:p>
    <w:p w:rsidR="003735A1" w:rsidRPr="008602D3" w:rsidRDefault="00940A4C" w:rsidP="00940A4C">
      <w:pPr>
        <w:rPr>
          <w:rFonts w:ascii="ArialMT" w:hAnsi="ArialMT" w:cs="Arial"/>
          <w:color w:val="000000"/>
          <w:szCs w:val="20"/>
        </w:rPr>
      </w:pPr>
      <w:r w:rsidRPr="008602D3">
        <w:rPr>
          <w:rFonts w:ascii="ArialMT" w:hAnsi="ArialMT" w:cs="Arial"/>
          <w:color w:val="000000"/>
          <w:szCs w:val="20"/>
        </w:rPr>
        <w:t>L’agence de notation salue par ailleurs la solidité de la position de l’opérateur sur le marché de l’énergie wallon et la politique de divid</w:t>
      </w:r>
      <w:r w:rsidR="003735A1" w:rsidRPr="008602D3">
        <w:rPr>
          <w:rFonts w:ascii="ArialMT" w:hAnsi="ArialMT" w:cs="Arial"/>
          <w:color w:val="000000"/>
          <w:szCs w:val="20"/>
        </w:rPr>
        <w:t xml:space="preserve">endes de </w:t>
      </w:r>
      <w:r w:rsidR="00E63C3E" w:rsidRPr="008602D3">
        <w:rPr>
          <w:rFonts w:ascii="ArialMT" w:hAnsi="ArialMT" w:cs="Arial"/>
          <w:color w:val="000000"/>
          <w:szCs w:val="20"/>
        </w:rPr>
        <w:t>Resa</w:t>
      </w:r>
      <w:r w:rsidR="008602D3">
        <w:rPr>
          <w:rFonts w:ascii="ArialMT" w:hAnsi="ArialMT" w:cs="Arial"/>
          <w:color w:val="000000"/>
          <w:szCs w:val="20"/>
        </w:rPr>
        <w:t xml:space="preserve"> en ligne avec ses </w:t>
      </w:r>
      <w:r w:rsidRPr="008602D3">
        <w:rPr>
          <w:rFonts w:ascii="ArialMT" w:hAnsi="ArialMT" w:cs="Arial"/>
          <w:color w:val="000000"/>
          <w:szCs w:val="20"/>
        </w:rPr>
        <w:t xml:space="preserve">recommandations. Ces éléments sont supportés notamment par la qualité de la structure de crédit de la société, et de ses besoins en investissements futurs. </w:t>
      </w:r>
    </w:p>
    <w:p w:rsidR="008602D3" w:rsidRPr="008602D3" w:rsidRDefault="008602D3" w:rsidP="003735A1">
      <w:pPr>
        <w:pBdr>
          <w:top w:val="single" w:sz="4" w:space="1" w:color="auto"/>
          <w:left w:val="single" w:sz="4" w:space="4" w:color="auto"/>
          <w:bottom w:val="single" w:sz="4" w:space="1" w:color="auto"/>
          <w:right w:val="single" w:sz="4" w:space="4" w:color="auto"/>
        </w:pBdr>
        <w:rPr>
          <w:rFonts w:ascii="Arial" w:hAnsi="Arial" w:cs="Arial"/>
          <w:b/>
          <w:bCs/>
          <w:color w:val="212121"/>
          <w:sz w:val="2"/>
          <w:szCs w:val="20"/>
          <w:lang w:val="fr-FR" w:eastAsia="fr-BE"/>
        </w:rPr>
      </w:pPr>
    </w:p>
    <w:p w:rsidR="003735A1" w:rsidRDefault="00940A4C" w:rsidP="003735A1">
      <w:pPr>
        <w:pBdr>
          <w:top w:val="single" w:sz="4" w:space="1" w:color="auto"/>
          <w:left w:val="single" w:sz="4" w:space="4" w:color="auto"/>
          <w:bottom w:val="single" w:sz="4" w:space="1" w:color="auto"/>
          <w:right w:val="single" w:sz="4" w:space="4" w:color="auto"/>
        </w:pBdr>
        <w:rPr>
          <w:rFonts w:ascii="Arial" w:hAnsi="Arial" w:cs="Arial"/>
          <w:lang w:val="fr-FR"/>
        </w:rPr>
      </w:pPr>
      <w:r w:rsidRPr="003735A1">
        <w:rPr>
          <w:rFonts w:ascii="Arial" w:hAnsi="Arial" w:cs="Arial"/>
          <w:b/>
          <w:bCs/>
          <w:color w:val="212121"/>
          <w:sz w:val="20"/>
          <w:szCs w:val="20"/>
          <w:lang w:val="fr-FR" w:eastAsia="fr-BE"/>
        </w:rPr>
        <w:t xml:space="preserve">A propos de </w:t>
      </w:r>
      <w:r w:rsidR="00E63C3E">
        <w:rPr>
          <w:rFonts w:ascii="Arial" w:hAnsi="Arial" w:cs="Arial"/>
          <w:b/>
          <w:bCs/>
          <w:color w:val="212121"/>
          <w:sz w:val="20"/>
          <w:szCs w:val="20"/>
          <w:lang w:val="fr-FR" w:eastAsia="fr-BE"/>
        </w:rPr>
        <w:t>RESA</w:t>
      </w:r>
      <w:r w:rsidRPr="003735A1">
        <w:rPr>
          <w:rFonts w:ascii="Arial" w:hAnsi="Arial" w:cs="Arial"/>
          <w:b/>
          <w:bCs/>
          <w:color w:val="212121"/>
          <w:sz w:val="20"/>
          <w:szCs w:val="20"/>
          <w:lang w:val="fr-FR" w:eastAsia="fr-BE"/>
        </w:rPr>
        <w:t>.</w:t>
      </w:r>
    </w:p>
    <w:p w:rsidR="003735A1" w:rsidRDefault="00E63C3E" w:rsidP="003735A1">
      <w:pPr>
        <w:pBdr>
          <w:top w:val="single" w:sz="4" w:space="1" w:color="auto"/>
          <w:left w:val="single" w:sz="4" w:space="4" w:color="auto"/>
          <w:bottom w:val="single" w:sz="4" w:space="1" w:color="auto"/>
          <w:right w:val="single" w:sz="4" w:space="4" w:color="auto"/>
        </w:pBdr>
        <w:rPr>
          <w:rFonts w:ascii="Arial" w:hAnsi="Arial" w:cs="Arial"/>
          <w:lang w:val="fr-FR"/>
        </w:rPr>
      </w:pPr>
      <w:r>
        <w:rPr>
          <w:rFonts w:ascii="ArialMT" w:hAnsi="ArialMT" w:cs="Arial"/>
          <w:color w:val="212121"/>
          <w:sz w:val="20"/>
          <w:szCs w:val="20"/>
          <w:lang w:val="fr-FR" w:eastAsia="fr-BE"/>
        </w:rPr>
        <w:t>Resa</w:t>
      </w:r>
      <w:r w:rsidR="003735A1" w:rsidRPr="003735A1">
        <w:rPr>
          <w:rFonts w:ascii="ArialMT" w:hAnsi="ArialMT" w:cs="Arial"/>
          <w:color w:val="212121"/>
          <w:sz w:val="20"/>
          <w:szCs w:val="20"/>
          <w:lang w:val="fr-FR" w:eastAsia="fr-BE"/>
        </w:rPr>
        <w:t xml:space="preserve"> détient, développe, exploite et maintien</w:t>
      </w:r>
      <w:r w:rsidR="003735A1">
        <w:rPr>
          <w:rFonts w:ascii="ArialMT" w:hAnsi="ArialMT" w:cs="Arial"/>
          <w:color w:val="212121"/>
          <w:sz w:val="20"/>
          <w:szCs w:val="20"/>
          <w:lang w:val="fr-FR" w:eastAsia="fr-BE"/>
        </w:rPr>
        <w:t>t</w:t>
      </w:r>
      <w:r w:rsidR="003735A1" w:rsidRPr="003735A1">
        <w:rPr>
          <w:rFonts w:ascii="ArialMT" w:hAnsi="ArialMT" w:cs="Arial"/>
          <w:color w:val="212121"/>
          <w:sz w:val="20"/>
          <w:szCs w:val="20"/>
          <w:lang w:val="fr-FR" w:eastAsia="fr-BE"/>
        </w:rPr>
        <w:t xml:space="preserve"> des réseaux d’électricité à moyenne et basse</w:t>
      </w:r>
      <w:r w:rsidR="003735A1">
        <w:rPr>
          <w:rFonts w:ascii="Arial" w:hAnsi="Arial" w:cs="Arial"/>
          <w:lang w:val="fr-FR"/>
        </w:rPr>
        <w:t xml:space="preserve"> </w:t>
      </w:r>
      <w:r w:rsidR="003735A1" w:rsidRPr="003735A1">
        <w:rPr>
          <w:rFonts w:ascii="ArialMT" w:hAnsi="ArialMT" w:cs="Arial"/>
          <w:color w:val="212121"/>
          <w:sz w:val="20"/>
          <w:szCs w:val="20"/>
          <w:lang w:val="fr-FR" w:eastAsia="fr-BE"/>
        </w:rPr>
        <w:t xml:space="preserve">tension et des réseaux de gaz à moyenne et basse pression. </w:t>
      </w:r>
      <w:r>
        <w:rPr>
          <w:rFonts w:ascii="ArialMT" w:hAnsi="ArialMT" w:cs="Arial"/>
          <w:color w:val="212121"/>
          <w:sz w:val="20"/>
          <w:szCs w:val="20"/>
          <w:lang w:val="fr-FR" w:eastAsia="fr-BE"/>
        </w:rPr>
        <w:t>Resa</w:t>
      </w:r>
      <w:r w:rsidR="003735A1" w:rsidRPr="003735A1">
        <w:rPr>
          <w:rFonts w:ascii="ArialMT" w:hAnsi="ArialMT" w:cs="Arial"/>
          <w:color w:val="212121"/>
          <w:sz w:val="20"/>
          <w:szCs w:val="20"/>
          <w:lang w:val="fr-FR" w:eastAsia="fr-BE"/>
        </w:rPr>
        <w:t xml:space="preserve"> est active dans 73 villes et communes, principalement en Province de Liège (Belgique).</w:t>
      </w:r>
    </w:p>
    <w:p w:rsidR="003735A1" w:rsidRPr="003735A1" w:rsidRDefault="003735A1" w:rsidP="003735A1">
      <w:pPr>
        <w:pBdr>
          <w:top w:val="single" w:sz="4" w:space="1" w:color="auto"/>
          <w:left w:val="single" w:sz="4" w:space="4" w:color="auto"/>
          <w:bottom w:val="single" w:sz="4" w:space="1" w:color="auto"/>
          <w:right w:val="single" w:sz="4" w:space="4" w:color="auto"/>
        </w:pBdr>
        <w:rPr>
          <w:rFonts w:ascii="Arial" w:hAnsi="Arial" w:cs="Arial"/>
          <w:lang w:val="fr-FR"/>
        </w:rPr>
      </w:pPr>
      <w:r w:rsidRPr="003735A1">
        <w:rPr>
          <w:rFonts w:ascii="ArialMT" w:hAnsi="ArialMT" w:cs="Arial"/>
          <w:color w:val="212121"/>
          <w:sz w:val="20"/>
          <w:szCs w:val="20"/>
          <w:lang w:val="fr-FR" w:eastAsia="fr-BE"/>
        </w:rPr>
        <w:t xml:space="preserve">Les réseaux de distribution gérés par </w:t>
      </w:r>
      <w:r w:rsidR="00E63C3E">
        <w:rPr>
          <w:rFonts w:ascii="ArialMT" w:hAnsi="ArialMT" w:cs="Arial"/>
          <w:color w:val="212121"/>
          <w:sz w:val="20"/>
          <w:szCs w:val="20"/>
          <w:lang w:val="fr-FR" w:eastAsia="fr-BE"/>
        </w:rPr>
        <w:t>Resa</w:t>
      </w:r>
      <w:r w:rsidRPr="003735A1">
        <w:rPr>
          <w:rFonts w:ascii="ArialMT" w:hAnsi="ArialMT" w:cs="Arial"/>
          <w:color w:val="212121"/>
          <w:sz w:val="20"/>
          <w:szCs w:val="20"/>
          <w:lang w:val="fr-FR" w:eastAsia="fr-BE"/>
        </w:rPr>
        <w:t xml:space="preserve"> (approximativement 13.940 km pour l’électricité et approximativement 3.982 km pour le gaz) permettent à près de 665.000 particuliers et</w:t>
      </w:r>
      <w:r>
        <w:rPr>
          <w:rFonts w:ascii="Arial" w:hAnsi="Arial" w:cs="Arial"/>
          <w:lang w:val="fr-FR"/>
        </w:rPr>
        <w:t xml:space="preserve"> </w:t>
      </w:r>
      <w:r w:rsidRPr="003735A1">
        <w:rPr>
          <w:rFonts w:ascii="ArialMT" w:hAnsi="ArialMT" w:cs="Arial"/>
          <w:color w:val="212121"/>
          <w:sz w:val="20"/>
          <w:szCs w:val="20"/>
          <w:lang w:val="fr-FR" w:eastAsia="fr-BE"/>
        </w:rPr>
        <w:t xml:space="preserve">entreprises d’être alimentés quotidiennement en énergie. </w:t>
      </w:r>
      <w:r w:rsidR="00E63C3E">
        <w:rPr>
          <w:rFonts w:ascii="ArialMT" w:hAnsi="ArialMT" w:cs="Arial"/>
          <w:color w:val="212121"/>
          <w:sz w:val="20"/>
          <w:szCs w:val="20"/>
          <w:lang w:val="fr-FR" w:eastAsia="fr-BE"/>
        </w:rPr>
        <w:t>Resa</w:t>
      </w:r>
      <w:r w:rsidRPr="003735A1">
        <w:rPr>
          <w:rFonts w:ascii="ArialMT" w:hAnsi="ArialMT" w:cs="Arial"/>
          <w:color w:val="212121"/>
          <w:sz w:val="20"/>
          <w:szCs w:val="20"/>
          <w:lang w:val="fr-FR" w:eastAsia="fr-BE"/>
        </w:rPr>
        <w:t xml:space="preserve"> est l’un des plus importants</w:t>
      </w:r>
      <w:r>
        <w:rPr>
          <w:rFonts w:ascii="Arial" w:hAnsi="Arial" w:cs="Arial"/>
          <w:lang w:val="fr-FR"/>
        </w:rPr>
        <w:t xml:space="preserve"> </w:t>
      </w:r>
      <w:r w:rsidRPr="003735A1">
        <w:rPr>
          <w:rFonts w:ascii="ArialMT" w:hAnsi="ArialMT" w:cs="Arial"/>
          <w:color w:val="212121"/>
          <w:sz w:val="20"/>
          <w:szCs w:val="20"/>
          <w:lang w:val="fr-FR" w:eastAsia="fr-BE"/>
        </w:rPr>
        <w:t>gestionnaires de réseaux belges.</w:t>
      </w:r>
    </w:p>
    <w:p w:rsidR="003735A1" w:rsidRPr="003735A1" w:rsidRDefault="00E63C3E" w:rsidP="003735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
          <w:color w:val="212121"/>
          <w:sz w:val="20"/>
          <w:szCs w:val="20"/>
          <w:lang w:val="fr-FR" w:eastAsia="fr-BE"/>
        </w:rPr>
      </w:pPr>
      <w:r>
        <w:rPr>
          <w:rFonts w:ascii="ArialMT" w:hAnsi="ArialMT" w:cs="Arial"/>
          <w:color w:val="212121"/>
          <w:sz w:val="20"/>
          <w:szCs w:val="20"/>
          <w:lang w:val="fr-FR" w:eastAsia="fr-BE"/>
        </w:rPr>
        <w:t>Resa</w:t>
      </w:r>
      <w:r w:rsidR="003735A1" w:rsidRPr="003735A1">
        <w:rPr>
          <w:rFonts w:ascii="ArialMT" w:hAnsi="ArialMT" w:cs="Arial"/>
          <w:color w:val="212121"/>
          <w:sz w:val="20"/>
          <w:szCs w:val="20"/>
          <w:lang w:val="fr-FR" w:eastAsia="fr-BE"/>
        </w:rPr>
        <w:t xml:space="preserve"> est détenue directement à 100% par Nethys SA et indirectement par la Province de Liège</w:t>
      </w:r>
    </w:p>
    <w:p w:rsidR="003735A1" w:rsidRDefault="003735A1" w:rsidP="003735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
          <w:color w:val="212121"/>
          <w:sz w:val="20"/>
          <w:szCs w:val="20"/>
          <w:lang w:val="fr-FR" w:eastAsia="fr-BE"/>
        </w:rPr>
      </w:pPr>
      <w:r w:rsidRPr="003735A1">
        <w:rPr>
          <w:rFonts w:ascii="ArialMT" w:hAnsi="ArialMT" w:cs="Arial"/>
          <w:color w:val="212121"/>
          <w:sz w:val="20"/>
          <w:szCs w:val="20"/>
          <w:lang w:val="fr-FR" w:eastAsia="fr-BE"/>
        </w:rPr>
        <w:t>(54%) et par 76 communes de la région de Liège (46%).</w:t>
      </w:r>
    </w:p>
    <w:p w:rsidR="003735A1" w:rsidRPr="008602D3" w:rsidRDefault="003735A1" w:rsidP="003735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
          <w:color w:val="212121"/>
          <w:sz w:val="8"/>
          <w:szCs w:val="20"/>
          <w:lang w:val="fr-FR" w:eastAsia="fr-BE"/>
        </w:rPr>
      </w:pPr>
    </w:p>
    <w:p w:rsidR="003735A1" w:rsidRDefault="003735A1" w:rsidP="003735A1">
      <w:pPr>
        <w:autoSpaceDE w:val="0"/>
        <w:autoSpaceDN w:val="0"/>
        <w:adjustRightInd w:val="0"/>
        <w:spacing w:after="0" w:line="240" w:lineRule="auto"/>
        <w:rPr>
          <w:rFonts w:ascii="Arial-BoldMT" w:hAnsi="Arial-BoldMT" w:cs="Arial-BoldMT"/>
          <w:b/>
          <w:bCs/>
          <w:color w:val="000000"/>
          <w:sz w:val="20"/>
          <w:szCs w:val="20"/>
        </w:rPr>
      </w:pPr>
    </w:p>
    <w:p w:rsidR="003735A1" w:rsidRDefault="003735A1" w:rsidP="003735A1">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Contact presse :</w:t>
      </w:r>
    </w:p>
    <w:p w:rsidR="003735A1" w:rsidRDefault="003735A1" w:rsidP="003735A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Patrick Blocry : </w:t>
      </w:r>
      <w:r>
        <w:rPr>
          <w:rFonts w:ascii="ArialMT" w:hAnsi="ArialMT" w:cs="ArialMT"/>
          <w:color w:val="B0005F"/>
        </w:rPr>
        <w:t xml:space="preserve">Patrick.blocry@nethys.be </w:t>
      </w:r>
      <w:r>
        <w:rPr>
          <w:rFonts w:ascii="ArialMT" w:hAnsi="ArialMT" w:cs="ArialMT"/>
          <w:color w:val="000000"/>
        </w:rPr>
        <w:t>- 0032.475.25.01.56</w:t>
      </w:r>
    </w:p>
    <w:p w:rsidR="000B17C6" w:rsidRPr="003735A1" w:rsidRDefault="000B17C6" w:rsidP="002852CA">
      <w:pPr>
        <w:pStyle w:val="Textebrut"/>
        <w:rPr>
          <w:rFonts w:ascii="ArialMT" w:hAnsi="ArialMT" w:cs="Arial"/>
          <w:color w:val="212121"/>
          <w:szCs w:val="20"/>
          <w:lang w:val="fr-FR" w:eastAsia="fr-BE"/>
        </w:rPr>
      </w:pPr>
    </w:p>
    <w:p w:rsidR="003735A1" w:rsidRDefault="003735A1" w:rsidP="002D5982">
      <w:pPr>
        <w:autoSpaceDE w:val="0"/>
        <w:autoSpaceDN w:val="0"/>
        <w:adjustRightInd w:val="0"/>
        <w:spacing w:after="0" w:line="240" w:lineRule="auto"/>
        <w:rPr>
          <w:rFonts w:ascii="Arial-BoldMT" w:hAnsi="Arial-BoldMT" w:cs="Arial-BoldMT"/>
          <w:b/>
          <w:bCs/>
          <w:color w:val="000000"/>
          <w:sz w:val="20"/>
          <w:szCs w:val="20"/>
        </w:rPr>
      </w:pPr>
    </w:p>
    <w:p w:rsidR="002D5982" w:rsidRDefault="002D5982" w:rsidP="002D5982">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Avertissement</w:t>
      </w:r>
    </w:p>
    <w:p w:rsidR="003735A1" w:rsidRDefault="003735A1" w:rsidP="002D5982">
      <w:pPr>
        <w:autoSpaceDE w:val="0"/>
        <w:autoSpaceDN w:val="0"/>
        <w:adjustRightInd w:val="0"/>
        <w:spacing w:after="0" w:line="240" w:lineRule="auto"/>
        <w:rPr>
          <w:rFonts w:ascii="ArialMT" w:hAnsi="ArialMT" w:cs="ArialMT"/>
          <w:color w:val="000000"/>
          <w:sz w:val="20"/>
          <w:szCs w:val="20"/>
        </w:rPr>
      </w:pPr>
    </w:p>
    <w:p w:rsidR="00832A5B"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lastRenderedPageBreak/>
        <w:t>Le présent communiqué est fait à titre d’information uniquement et ne constitue par une offre de</w:t>
      </w:r>
      <w:r w:rsidR="00832A5B">
        <w:rPr>
          <w:rFonts w:ascii="Arial-BoldMT" w:hAnsi="Arial-BoldMT" w:cs="Arial-BoldMT"/>
          <w:bCs/>
          <w:color w:val="000000"/>
          <w:sz w:val="20"/>
          <w:szCs w:val="20"/>
        </w:rPr>
        <w:t xml:space="preserve"> </w:t>
      </w:r>
      <w:r w:rsidRPr="003735A1">
        <w:rPr>
          <w:rFonts w:ascii="Arial-BoldMT" w:hAnsi="Arial-BoldMT" w:cs="Arial-BoldMT"/>
          <w:bCs/>
          <w:color w:val="000000"/>
          <w:sz w:val="20"/>
          <w:szCs w:val="20"/>
        </w:rPr>
        <w:t>vendre ou une sollicitation d’une offre d’acheter de quelconques va</w:t>
      </w:r>
      <w:r w:rsidR="00832A5B">
        <w:rPr>
          <w:rFonts w:ascii="Arial-BoldMT" w:hAnsi="Arial-BoldMT" w:cs="Arial-BoldMT"/>
          <w:bCs/>
          <w:color w:val="000000"/>
          <w:sz w:val="20"/>
          <w:szCs w:val="20"/>
        </w:rPr>
        <w:t>leurs mobilières aux Etats-Unis</w:t>
      </w:r>
    </w:p>
    <w:p w:rsidR="00832A5B"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ou dans toute autre juridiction. Les valeurs mobilières auxquelle</w:t>
      </w:r>
      <w:r w:rsidR="00832A5B">
        <w:rPr>
          <w:rFonts w:ascii="Arial-BoldMT" w:hAnsi="Arial-BoldMT" w:cs="Arial-BoldMT"/>
          <w:bCs/>
          <w:color w:val="000000"/>
          <w:sz w:val="20"/>
          <w:szCs w:val="20"/>
        </w:rPr>
        <w:t>s il est fait référence dans le</w:t>
      </w:r>
    </w:p>
    <w:p w:rsidR="000E47A2"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 xml:space="preserve">présent communiqué ne seront pas enregistrées en vertu du U.S. </w:t>
      </w:r>
      <w:r w:rsidR="000E47A2">
        <w:rPr>
          <w:rFonts w:ascii="Arial-BoldMT" w:hAnsi="Arial-BoldMT" w:cs="Arial-BoldMT"/>
          <w:bCs/>
          <w:color w:val="000000"/>
          <w:sz w:val="20"/>
          <w:szCs w:val="20"/>
        </w:rPr>
        <w:t>Securities Act de 1933, tel que</w:t>
      </w:r>
    </w:p>
    <w:p w:rsidR="002D5982" w:rsidRPr="003735A1"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 xml:space="preserve">modifié (le « </w:t>
      </w:r>
      <w:r w:rsidRPr="003735A1">
        <w:rPr>
          <w:rFonts w:ascii="Arial-BoldMT" w:hAnsi="Arial-BoldMT" w:cs="Arial-BoldMT"/>
          <w:b/>
          <w:bCs/>
          <w:color w:val="000000"/>
          <w:sz w:val="20"/>
          <w:szCs w:val="20"/>
        </w:rPr>
        <w:t>Securities Act</w:t>
      </w:r>
      <w:r w:rsidRPr="003735A1">
        <w:rPr>
          <w:rFonts w:ascii="Arial-BoldMT" w:hAnsi="Arial-BoldMT" w:cs="Arial-BoldMT"/>
          <w:bCs/>
          <w:color w:val="000000"/>
          <w:sz w:val="20"/>
          <w:szCs w:val="20"/>
        </w:rPr>
        <w:t xml:space="preserve"> »), ou des lois de tout Etat des Etats-Unis, et ne peuvent être offertes</w:t>
      </w:r>
    </w:p>
    <w:p w:rsidR="002D5982" w:rsidRPr="003735A1"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ou vendues aux Etats-Unis, sauf dans le cadre d’une opération qui n’est pas soumise aux, ou en</w:t>
      </w:r>
    </w:p>
    <w:p w:rsidR="002D5982" w:rsidRPr="003735A1"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vertu d’une exemption applicable aux, obligations d’enregistrement du Securities Act ou de toute</w:t>
      </w:r>
    </w:p>
    <w:p w:rsidR="002D5982" w:rsidRPr="003735A1"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autre loi étatique relative aux valeurs mobilières. Le présent communiqué ne peut être distribué ou</w:t>
      </w:r>
    </w:p>
    <w:p w:rsidR="002D5982" w:rsidRPr="003735A1"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envoyé aux Etats-Unis ou dans toute autre juridiction dans laquelle il est illégal de le distribuer.</w:t>
      </w:r>
    </w:p>
    <w:p w:rsidR="002D5982" w:rsidRPr="003735A1" w:rsidRDefault="002D5982" w:rsidP="00832A5B">
      <w:pPr>
        <w:autoSpaceDE w:val="0"/>
        <w:autoSpaceDN w:val="0"/>
        <w:adjustRightInd w:val="0"/>
        <w:spacing w:after="0" w:line="240" w:lineRule="auto"/>
        <w:rPr>
          <w:rFonts w:ascii="Arial-BoldMT" w:hAnsi="Arial-BoldMT" w:cs="Arial-BoldMT"/>
          <w:bCs/>
          <w:color w:val="000000"/>
          <w:sz w:val="20"/>
          <w:szCs w:val="20"/>
        </w:rPr>
      </w:pPr>
      <w:r w:rsidRPr="003735A1">
        <w:rPr>
          <w:rFonts w:ascii="Arial-BoldMT" w:hAnsi="Arial-BoldMT" w:cs="Arial-BoldMT"/>
          <w:bCs/>
          <w:color w:val="000000"/>
          <w:sz w:val="20"/>
          <w:szCs w:val="20"/>
        </w:rPr>
        <w:t>Aucune offre de valeurs mobilières n’est envisagée aux Etats-Unis ou dans toute autre de ces</w:t>
      </w:r>
    </w:p>
    <w:p w:rsidR="00EC71CE" w:rsidRPr="00E63C3E" w:rsidRDefault="002D5982" w:rsidP="00EC71CE">
      <w:pPr>
        <w:rPr>
          <w:rFonts w:ascii="Arial-BoldMT" w:hAnsi="Arial-BoldMT" w:cs="Arial-BoldMT"/>
          <w:bCs/>
          <w:color w:val="000000"/>
          <w:sz w:val="20"/>
          <w:szCs w:val="20"/>
        </w:rPr>
      </w:pPr>
      <w:r w:rsidRPr="003735A1">
        <w:rPr>
          <w:rFonts w:ascii="Arial-BoldMT" w:hAnsi="Arial-BoldMT" w:cs="Arial-BoldMT"/>
          <w:bCs/>
          <w:color w:val="000000"/>
          <w:sz w:val="20"/>
          <w:szCs w:val="20"/>
        </w:rPr>
        <w:t>juridictions.</w:t>
      </w:r>
    </w:p>
    <w:sectPr w:rsidR="00EC71CE" w:rsidRPr="00E63C3E" w:rsidSect="00BA2D98">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1C" w:rsidRDefault="00A2591C" w:rsidP="003735A1">
      <w:pPr>
        <w:spacing w:after="0" w:line="240" w:lineRule="auto"/>
      </w:pPr>
      <w:r>
        <w:separator/>
      </w:r>
    </w:p>
  </w:endnote>
  <w:endnote w:type="continuationSeparator" w:id="0">
    <w:p w:rsidR="00A2591C" w:rsidRDefault="00A2591C" w:rsidP="0037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022441"/>
      <w:docPartObj>
        <w:docPartGallery w:val="Page Numbers (Bottom of Page)"/>
        <w:docPartUnique/>
      </w:docPartObj>
    </w:sdtPr>
    <w:sdtEndPr>
      <w:rPr>
        <w:noProof/>
      </w:rPr>
    </w:sdtEndPr>
    <w:sdtContent>
      <w:p w:rsidR="003735A1" w:rsidRDefault="003735A1">
        <w:pPr>
          <w:pStyle w:val="Pieddepage"/>
          <w:jc w:val="center"/>
        </w:pPr>
        <w:r>
          <w:fldChar w:fldCharType="begin"/>
        </w:r>
        <w:r>
          <w:instrText xml:space="preserve"> PAGE   \* MERGEFORMAT </w:instrText>
        </w:r>
        <w:r>
          <w:fldChar w:fldCharType="separate"/>
        </w:r>
        <w:r w:rsidR="00CF3508">
          <w:rPr>
            <w:noProof/>
          </w:rPr>
          <w:t>1</w:t>
        </w:r>
        <w:r>
          <w:rPr>
            <w:noProof/>
          </w:rPr>
          <w:fldChar w:fldCharType="end"/>
        </w:r>
      </w:p>
    </w:sdtContent>
  </w:sdt>
  <w:p w:rsidR="003735A1" w:rsidRDefault="003735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1C" w:rsidRDefault="00A2591C" w:rsidP="003735A1">
      <w:pPr>
        <w:spacing w:after="0" w:line="240" w:lineRule="auto"/>
      </w:pPr>
      <w:r>
        <w:separator/>
      </w:r>
    </w:p>
  </w:footnote>
  <w:footnote w:type="continuationSeparator" w:id="0">
    <w:p w:rsidR="00A2591C" w:rsidRDefault="00A2591C" w:rsidP="0037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68"/>
    <w:rsid w:val="00036568"/>
    <w:rsid w:val="000B17C6"/>
    <w:rsid w:val="000E47A2"/>
    <w:rsid w:val="00192D3B"/>
    <w:rsid w:val="001A6E97"/>
    <w:rsid w:val="001E57FC"/>
    <w:rsid w:val="00234A32"/>
    <w:rsid w:val="002852CA"/>
    <w:rsid w:val="002A4729"/>
    <w:rsid w:val="002C3E55"/>
    <w:rsid w:val="002D5982"/>
    <w:rsid w:val="002E765C"/>
    <w:rsid w:val="00325760"/>
    <w:rsid w:val="003735A1"/>
    <w:rsid w:val="00491C5B"/>
    <w:rsid w:val="004C6E93"/>
    <w:rsid w:val="004F5A76"/>
    <w:rsid w:val="005268EE"/>
    <w:rsid w:val="0054508D"/>
    <w:rsid w:val="00557222"/>
    <w:rsid w:val="00580650"/>
    <w:rsid w:val="006367CB"/>
    <w:rsid w:val="00832A5B"/>
    <w:rsid w:val="008602D3"/>
    <w:rsid w:val="00886F43"/>
    <w:rsid w:val="008D592B"/>
    <w:rsid w:val="00940A4C"/>
    <w:rsid w:val="009C2E3F"/>
    <w:rsid w:val="00A2591C"/>
    <w:rsid w:val="00B7612E"/>
    <w:rsid w:val="00BA2D98"/>
    <w:rsid w:val="00C3422E"/>
    <w:rsid w:val="00C75AC9"/>
    <w:rsid w:val="00C87BCC"/>
    <w:rsid w:val="00CA6DC6"/>
    <w:rsid w:val="00CF3508"/>
    <w:rsid w:val="00D906BD"/>
    <w:rsid w:val="00DC2FA0"/>
    <w:rsid w:val="00E30D3A"/>
    <w:rsid w:val="00E43A41"/>
    <w:rsid w:val="00E63C3E"/>
    <w:rsid w:val="00EA7A74"/>
    <w:rsid w:val="00EC71CE"/>
    <w:rsid w:val="00F31B71"/>
    <w:rsid w:val="00F50548"/>
    <w:rsid w:val="00FB2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6D6C8-B4AA-4B09-AFD4-CD48679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C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EC71CE"/>
    <w:rPr>
      <w:rFonts w:ascii="Courier New" w:eastAsia="Times New Roman" w:hAnsi="Courier New" w:cs="Courier New"/>
      <w:sz w:val="20"/>
      <w:szCs w:val="20"/>
      <w:lang w:eastAsia="fr-BE"/>
    </w:rPr>
  </w:style>
  <w:style w:type="paragraph" w:styleId="Textebrut">
    <w:name w:val="Plain Text"/>
    <w:basedOn w:val="Normal"/>
    <w:link w:val="TextebrutCar"/>
    <w:uiPriority w:val="99"/>
    <w:unhideWhenUsed/>
    <w:rsid w:val="000B17C6"/>
    <w:pPr>
      <w:spacing w:after="0" w:line="240" w:lineRule="auto"/>
    </w:pPr>
    <w:rPr>
      <w:rFonts w:ascii="Calibri" w:hAnsi="Calibri"/>
      <w:szCs w:val="21"/>
    </w:rPr>
  </w:style>
  <w:style w:type="character" w:customStyle="1" w:styleId="TextebrutCar">
    <w:name w:val="Texte brut Car"/>
    <w:basedOn w:val="Policepardfaut"/>
    <w:link w:val="Textebrut"/>
    <w:uiPriority w:val="99"/>
    <w:rsid w:val="000B17C6"/>
    <w:rPr>
      <w:rFonts w:ascii="Calibri" w:hAnsi="Calibri"/>
      <w:szCs w:val="21"/>
    </w:rPr>
  </w:style>
  <w:style w:type="paragraph" w:styleId="En-tte">
    <w:name w:val="header"/>
    <w:basedOn w:val="Normal"/>
    <w:link w:val="En-tteCar"/>
    <w:uiPriority w:val="99"/>
    <w:unhideWhenUsed/>
    <w:rsid w:val="003735A1"/>
    <w:pPr>
      <w:tabs>
        <w:tab w:val="center" w:pos="4536"/>
        <w:tab w:val="right" w:pos="9072"/>
      </w:tabs>
      <w:spacing w:after="0" w:line="240" w:lineRule="auto"/>
    </w:pPr>
  </w:style>
  <w:style w:type="character" w:customStyle="1" w:styleId="En-tteCar">
    <w:name w:val="En-tête Car"/>
    <w:basedOn w:val="Policepardfaut"/>
    <w:link w:val="En-tte"/>
    <w:uiPriority w:val="99"/>
    <w:rsid w:val="003735A1"/>
  </w:style>
  <w:style w:type="paragraph" w:styleId="Pieddepage">
    <w:name w:val="footer"/>
    <w:basedOn w:val="Normal"/>
    <w:link w:val="PieddepageCar"/>
    <w:uiPriority w:val="99"/>
    <w:unhideWhenUsed/>
    <w:rsid w:val="003735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4200">
      <w:bodyDiv w:val="1"/>
      <w:marLeft w:val="0"/>
      <w:marRight w:val="0"/>
      <w:marTop w:val="0"/>
      <w:marBottom w:val="0"/>
      <w:divBdr>
        <w:top w:val="none" w:sz="0" w:space="0" w:color="auto"/>
        <w:left w:val="none" w:sz="0" w:space="0" w:color="auto"/>
        <w:bottom w:val="none" w:sz="0" w:space="0" w:color="auto"/>
        <w:right w:val="none" w:sz="0" w:space="0" w:color="auto"/>
      </w:divBdr>
    </w:div>
    <w:div w:id="348531489">
      <w:bodyDiv w:val="1"/>
      <w:marLeft w:val="0"/>
      <w:marRight w:val="0"/>
      <w:marTop w:val="0"/>
      <w:marBottom w:val="0"/>
      <w:divBdr>
        <w:top w:val="none" w:sz="0" w:space="0" w:color="auto"/>
        <w:left w:val="none" w:sz="0" w:space="0" w:color="auto"/>
        <w:bottom w:val="none" w:sz="0" w:space="0" w:color="auto"/>
        <w:right w:val="none" w:sz="0" w:space="0" w:color="auto"/>
      </w:divBdr>
    </w:div>
    <w:div w:id="853156635">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659648087">
      <w:bodyDiv w:val="1"/>
      <w:marLeft w:val="0"/>
      <w:marRight w:val="0"/>
      <w:marTop w:val="0"/>
      <w:marBottom w:val="0"/>
      <w:divBdr>
        <w:top w:val="none" w:sz="0" w:space="0" w:color="auto"/>
        <w:left w:val="none" w:sz="0" w:space="0" w:color="auto"/>
        <w:bottom w:val="none" w:sz="0" w:space="0" w:color="auto"/>
        <w:right w:val="none" w:sz="0" w:space="0" w:color="auto"/>
      </w:divBdr>
    </w:div>
    <w:div w:id="19225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3124</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Win s.a.</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DECLOUX Paul</dc:creator>
  <cp:keywords/>
  <dc:description/>
  <cp:lastModifiedBy>WATERKEYN Alexis</cp:lastModifiedBy>
  <cp:revision>2</cp:revision>
  <dcterms:created xsi:type="dcterms:W3CDTF">2017-10-05T11:04:00Z</dcterms:created>
  <dcterms:modified xsi:type="dcterms:W3CDTF">2017-10-05T11:04:00Z</dcterms:modified>
</cp:coreProperties>
</file>